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0BC90" w14:textId="7645879E" w:rsidR="00386032" w:rsidRPr="005717A6" w:rsidRDefault="00FF6726" w:rsidP="005717A6">
      <w:pPr>
        <w:jc w:val="center"/>
        <w:rPr>
          <w:b/>
          <w:color w:val="7030A0"/>
          <w:sz w:val="32"/>
        </w:rPr>
      </w:pPr>
      <w:r>
        <w:rPr>
          <w:b/>
          <w:color w:val="7030A0"/>
          <w:sz w:val="32"/>
        </w:rPr>
        <w:t>Small</w:t>
      </w:r>
      <w:r w:rsidR="00C11BE4">
        <w:rPr>
          <w:b/>
          <w:color w:val="7030A0"/>
          <w:sz w:val="32"/>
        </w:rPr>
        <w:t xml:space="preserve"> Scale Commercial</w:t>
      </w:r>
      <w:r w:rsidR="00A64254" w:rsidRPr="00CC0711">
        <w:rPr>
          <w:b/>
          <w:color w:val="7030A0"/>
          <w:sz w:val="32"/>
        </w:rPr>
        <w:t xml:space="preserve"> Investment</w:t>
      </w:r>
    </w:p>
    <w:p w14:paraId="4FCE7CE1" w14:textId="77777777" w:rsidR="00AA2D41" w:rsidRDefault="00A64254" w:rsidP="00AA2D41">
      <w:r>
        <w:t>Over the past 40 years Stage One have suppo</w:t>
      </w:r>
      <w:r w:rsidR="00BE65FC">
        <w:t>rted and invested in West End and</w:t>
      </w:r>
      <w:r>
        <w:t xml:space="preserve"> Number 1 tours across the UK and overseas. Now Stage One </w:t>
      </w:r>
      <w:r w:rsidR="00B87BE0">
        <w:t>can</w:t>
      </w:r>
      <w:r>
        <w:t xml:space="preserve"> offer to invest </w:t>
      </w:r>
      <w:r w:rsidR="00022F0D">
        <w:t>in</w:t>
      </w:r>
      <w:r>
        <w:t xml:space="preserve"> smaller scale</w:t>
      </w:r>
      <w:r w:rsidR="00CC0711">
        <w:t xml:space="preserve"> </w:t>
      </w:r>
      <w:r>
        <w:t xml:space="preserve">productions </w:t>
      </w:r>
      <w:r w:rsidR="00CE08FF">
        <w:t xml:space="preserve">(not </w:t>
      </w:r>
      <w:r w:rsidR="00AA2D41">
        <w:t>West End Venues</w:t>
      </w:r>
      <w:r w:rsidR="00AA2D41">
        <w:rPr>
          <w:rStyle w:val="FootnoteReference"/>
        </w:rPr>
        <w:footnoteReference w:id="2"/>
      </w:r>
      <w:r w:rsidR="00AA2D41">
        <w:t xml:space="preserve">) </w:t>
      </w:r>
      <w:r>
        <w:t>that fit the guidelines below.</w:t>
      </w:r>
      <w:r w:rsidR="00BE65FC">
        <w:t xml:space="preserve">  </w:t>
      </w:r>
      <w:r w:rsidR="00CA3E02">
        <w:t>The aim is to be able to support a wider range of productions and to help producers create more commercial</w:t>
      </w:r>
      <w:r w:rsidR="0028544A">
        <w:t>ly</w:t>
      </w:r>
      <w:r w:rsidR="00CA3E02">
        <w:t xml:space="preserve"> viable work and increase their pool of investors.  </w:t>
      </w:r>
      <w:r w:rsidR="00CC0711">
        <w:t>For investment in West End productions please see our Commercial Investment Guidelines.</w:t>
      </w:r>
      <w:r w:rsidR="00123BB3">
        <w:t xml:space="preserve">  </w:t>
      </w:r>
      <w:r w:rsidR="00CE08FF">
        <w:t xml:space="preserve"> </w:t>
      </w:r>
    </w:p>
    <w:p w14:paraId="2E7CB06C" w14:textId="77777777" w:rsidR="008F40F8" w:rsidRDefault="00123BB3" w:rsidP="00AA2D41">
      <w:r>
        <w:t xml:space="preserve">Please note that we are </w:t>
      </w:r>
      <w:r w:rsidRPr="00BE65FC">
        <w:rPr>
          <w:b/>
        </w:rPr>
        <w:t>not able to invest in Edinburgh Fringe Shows</w:t>
      </w:r>
      <w:r>
        <w:t xml:space="preserve"> or shows performing internationally</w:t>
      </w:r>
      <w:r w:rsidR="00BE65FC" w:rsidRPr="00BE65FC">
        <w:t xml:space="preserve"> </w:t>
      </w:r>
      <w:r w:rsidR="00BE65FC">
        <w:t xml:space="preserve">and </w:t>
      </w:r>
      <w:r w:rsidR="00BE65FC" w:rsidRPr="00F57CFB">
        <w:t>Producers who have received Stage One Investment for a West End production are precluded from applying.</w:t>
      </w:r>
    </w:p>
    <w:p w14:paraId="32C141D3" w14:textId="2C31A571" w:rsidR="006163A4" w:rsidRDefault="008F40F8" w:rsidP="008F40F8">
      <w:pPr>
        <w:jc w:val="center"/>
        <w:rPr>
          <w:b/>
          <w:bCs/>
          <w:i/>
          <w:iCs/>
          <w:color w:val="7030A0"/>
        </w:rPr>
      </w:pPr>
      <w:r w:rsidRPr="006163A4">
        <w:rPr>
          <w:b/>
          <w:bCs/>
          <w:i/>
          <w:iCs/>
          <w:color w:val="7030A0"/>
          <w:highlight w:val="yellow"/>
        </w:rPr>
        <w:t xml:space="preserve">The maximum investment Stage One can offer is £20,000 </w:t>
      </w:r>
      <w:proofErr w:type="gramStart"/>
      <w:r w:rsidRPr="006163A4">
        <w:rPr>
          <w:b/>
          <w:bCs/>
          <w:i/>
          <w:iCs/>
          <w:color w:val="7030A0"/>
          <w:highlight w:val="yellow"/>
        </w:rPr>
        <w:t xml:space="preserve">and </w:t>
      </w:r>
      <w:r w:rsidR="00FB71C3">
        <w:rPr>
          <w:b/>
          <w:bCs/>
          <w:i/>
          <w:iCs/>
          <w:color w:val="7030A0"/>
          <w:highlight w:val="yellow"/>
        </w:rPr>
        <w:t>also</w:t>
      </w:r>
      <w:proofErr w:type="gramEnd"/>
      <w:r w:rsidR="00FB71C3">
        <w:rPr>
          <w:b/>
          <w:bCs/>
          <w:i/>
          <w:iCs/>
          <w:color w:val="7030A0"/>
          <w:highlight w:val="yellow"/>
        </w:rPr>
        <w:t xml:space="preserve"> </w:t>
      </w:r>
      <w:r w:rsidRPr="006163A4">
        <w:rPr>
          <w:b/>
          <w:bCs/>
          <w:i/>
          <w:iCs/>
          <w:color w:val="7030A0"/>
          <w:highlight w:val="yellow"/>
        </w:rPr>
        <w:t>capped at 30% of the capitalisation – all applications must be received 4 weeks before the first rehearsal.</w:t>
      </w:r>
      <w:r w:rsidR="007E0251" w:rsidRPr="006163A4">
        <w:rPr>
          <w:b/>
          <w:bCs/>
          <w:i/>
          <w:iCs/>
          <w:color w:val="7030A0"/>
        </w:rPr>
        <w:t xml:space="preserve"> </w:t>
      </w:r>
    </w:p>
    <w:p w14:paraId="3F99B674" w14:textId="58FB10D3" w:rsidR="00123BB3" w:rsidRPr="006163A4" w:rsidRDefault="007E0251" w:rsidP="008F40F8">
      <w:pPr>
        <w:jc w:val="center"/>
        <w:rPr>
          <w:b/>
          <w:bCs/>
          <w:i/>
          <w:iCs/>
          <w:color w:val="7030A0"/>
        </w:rPr>
      </w:pPr>
      <w:r w:rsidRPr="006163A4">
        <w:rPr>
          <w:b/>
          <w:bCs/>
          <w:i/>
          <w:iCs/>
          <w:color w:val="7030A0"/>
        </w:rPr>
        <w:t>If th</w:t>
      </w:r>
      <w:r w:rsidR="006163A4" w:rsidRPr="006163A4">
        <w:rPr>
          <w:b/>
          <w:bCs/>
          <w:i/>
          <w:iCs/>
          <w:color w:val="7030A0"/>
        </w:rPr>
        <w:t xml:space="preserve">e investment is not due to be shared between </w:t>
      </w:r>
      <w:proofErr w:type="gramStart"/>
      <w:r w:rsidR="006163A4" w:rsidRPr="006163A4">
        <w:rPr>
          <w:b/>
          <w:bCs/>
          <w:i/>
          <w:iCs/>
          <w:color w:val="7030A0"/>
        </w:rPr>
        <w:t>co-producers</w:t>
      </w:r>
      <w:proofErr w:type="gramEnd"/>
      <w:r w:rsidR="006163A4" w:rsidRPr="006163A4">
        <w:rPr>
          <w:b/>
          <w:bCs/>
          <w:i/>
          <w:iCs/>
          <w:color w:val="7030A0"/>
        </w:rPr>
        <w:t xml:space="preserve"> then this is capped at 30% of the producers’ raise. </w:t>
      </w:r>
    </w:p>
    <w:p w14:paraId="2784DDC7" w14:textId="77777777" w:rsidR="00CE08FF" w:rsidRDefault="00F16766" w:rsidP="00CE08FF">
      <w:pPr>
        <w:jc w:val="center"/>
        <w:rPr>
          <w:b/>
        </w:rPr>
      </w:pPr>
      <w:r w:rsidRPr="00CE08FF">
        <w:rPr>
          <w:b/>
        </w:rPr>
        <w:t>The decision whether to invest in a pro</w:t>
      </w:r>
      <w:r w:rsidR="00CE08FF" w:rsidRPr="00CE08FF">
        <w:rPr>
          <w:b/>
        </w:rPr>
        <w:t xml:space="preserve">duction is made by a committee </w:t>
      </w:r>
      <w:r w:rsidRPr="00CE08FF">
        <w:rPr>
          <w:b/>
        </w:rPr>
        <w:t>m</w:t>
      </w:r>
      <w:r w:rsidR="005C017E" w:rsidRPr="00CE08FF">
        <w:rPr>
          <w:b/>
        </w:rPr>
        <w:t>ade up of active producers</w:t>
      </w:r>
      <w:r w:rsidR="00CE08FF" w:rsidRPr="00CE08FF">
        <w:rPr>
          <w:b/>
        </w:rPr>
        <w:t>, at their discretion the</w:t>
      </w:r>
      <w:r w:rsidR="00F57CFB">
        <w:rPr>
          <w:b/>
        </w:rPr>
        <w:t xml:space="preserve"> guidelines </w:t>
      </w:r>
      <w:r w:rsidR="00CE08FF" w:rsidRPr="00CE08FF">
        <w:rPr>
          <w:b/>
        </w:rPr>
        <w:t>may be varied depending on</w:t>
      </w:r>
      <w:r w:rsidR="00F57CFB">
        <w:rPr>
          <w:b/>
        </w:rPr>
        <w:t xml:space="preserve"> the individual circumstances of</w:t>
      </w:r>
      <w:r w:rsidR="00CE08FF" w:rsidRPr="00CE08FF">
        <w:rPr>
          <w:b/>
        </w:rPr>
        <w:t xml:space="preserve"> any production</w:t>
      </w:r>
      <w:r w:rsidR="005C017E" w:rsidRPr="00CE08FF">
        <w:rPr>
          <w:b/>
        </w:rPr>
        <w:t>.</w:t>
      </w:r>
    </w:p>
    <w:p w14:paraId="2F3CF2D0" w14:textId="77777777" w:rsidR="00B87BE0" w:rsidRDefault="00B87BE0">
      <w:r>
        <w:t xml:space="preserve">Stage One will normally give a commitment to invest (or not) within four weeks of the receipt of the papers.  </w:t>
      </w:r>
      <w:proofErr w:type="gramStart"/>
      <w:r>
        <w:t>In the event that</w:t>
      </w:r>
      <w:proofErr w:type="gramEnd"/>
      <w:r>
        <w:t xml:space="preserve"> an offer to invest is made, </w:t>
      </w:r>
      <w:r w:rsidR="00C2196E">
        <w:t>Stage One will provide one session with a production accountant to ensure all figures are accurate.  T</w:t>
      </w:r>
      <w:r>
        <w:t xml:space="preserve">he producer must </w:t>
      </w:r>
      <w:r w:rsidR="00C2196E">
        <w:t xml:space="preserve">then </w:t>
      </w:r>
      <w:r>
        <w:t>show that they have the balance of the capital in hand, at which point the Stage One monies can be sent.  This should normally be by the first day of rehearsals, but in any event should be no later than one week prior to the first paid public performance.  No funds can be sent beyond this date.</w:t>
      </w:r>
      <w:r w:rsidR="00123BB3" w:rsidRPr="00123BB3">
        <w:t xml:space="preserve"> </w:t>
      </w:r>
      <w:r w:rsidR="00C2196E">
        <w:t xml:space="preserve"> </w:t>
      </w:r>
    </w:p>
    <w:p w14:paraId="503BCF08" w14:textId="77777777" w:rsidR="00F16766" w:rsidRDefault="00B87BE0">
      <w:r>
        <w:t>Investment Criteria:</w:t>
      </w:r>
    </w:p>
    <w:p w14:paraId="21824BF6" w14:textId="77777777" w:rsidR="00C2196E" w:rsidRDefault="00C2196E" w:rsidP="00C2196E">
      <w:pPr>
        <w:pStyle w:val="ListParagraph"/>
        <w:numPr>
          <w:ilvl w:val="0"/>
          <w:numId w:val="4"/>
        </w:numPr>
      </w:pPr>
      <w:r>
        <w:t xml:space="preserve">Figures presented to Stage One must be </w:t>
      </w:r>
      <w:r w:rsidRPr="00C2196E">
        <w:rPr>
          <w:b/>
        </w:rPr>
        <w:t>clear and unambiguous</w:t>
      </w:r>
      <w:r>
        <w:t xml:space="preserve"> (in particular, accurate costings and detailed estimates of how long until recoupment may be reached at varying levels of box office are required).</w:t>
      </w:r>
    </w:p>
    <w:p w14:paraId="4F7F0904" w14:textId="2D492AF7" w:rsidR="004B0280" w:rsidRPr="00B00567" w:rsidRDefault="00CC0711" w:rsidP="00F16766">
      <w:pPr>
        <w:pStyle w:val="ListParagraph"/>
        <w:numPr>
          <w:ilvl w:val="0"/>
          <w:numId w:val="4"/>
        </w:numPr>
      </w:pPr>
      <w:r w:rsidRPr="00B00567">
        <w:t>Th</w:t>
      </w:r>
      <w:r w:rsidR="00F16766" w:rsidRPr="00B00567">
        <w:t xml:space="preserve">e production must be </w:t>
      </w:r>
      <w:r w:rsidR="00F16766" w:rsidRPr="00B00567">
        <w:rPr>
          <w:b/>
        </w:rPr>
        <w:t xml:space="preserve">contracted for a minimum of </w:t>
      </w:r>
      <w:r w:rsidR="004B0280" w:rsidRPr="00B00567">
        <w:rPr>
          <w:b/>
        </w:rPr>
        <w:t xml:space="preserve">4 </w:t>
      </w:r>
      <w:proofErr w:type="gramStart"/>
      <w:r w:rsidR="004B0280" w:rsidRPr="00B00567">
        <w:rPr>
          <w:b/>
        </w:rPr>
        <w:t>weeks</w:t>
      </w:r>
      <w:r w:rsidR="000A6A0C" w:rsidRPr="00B00567">
        <w:rPr>
          <w:b/>
        </w:rPr>
        <w:t xml:space="preserve">  (</w:t>
      </w:r>
      <w:proofErr w:type="gramEnd"/>
      <w:r w:rsidR="000A6A0C" w:rsidRPr="00B00567">
        <w:rPr>
          <w:b/>
        </w:rPr>
        <w:t>32 performances)</w:t>
      </w:r>
      <w:r w:rsidR="00F16766" w:rsidRPr="00B00567">
        <w:t>,</w:t>
      </w:r>
      <w:r w:rsidR="00F16766" w:rsidRPr="00B00567">
        <w:rPr>
          <w:b/>
        </w:rPr>
        <w:t xml:space="preserve"> </w:t>
      </w:r>
      <w:r w:rsidR="00F16766" w:rsidRPr="00B00567">
        <w:t>and be able to recoup the estimated production costs plus a 10% contingency at</w:t>
      </w:r>
      <w:r w:rsidR="00F16766" w:rsidRPr="00B00567">
        <w:rPr>
          <w:b/>
        </w:rPr>
        <w:t xml:space="preserve"> 75% of Net Box Office Capacity</w:t>
      </w:r>
      <w:r w:rsidR="00F16766" w:rsidRPr="00B00567">
        <w:rPr>
          <w:rStyle w:val="FootnoteReference"/>
          <w:b/>
        </w:rPr>
        <w:footnoteReference w:id="3"/>
      </w:r>
      <w:r w:rsidR="00F16766" w:rsidRPr="00B00567">
        <w:rPr>
          <w:b/>
        </w:rPr>
        <w:t xml:space="preserve"> </w:t>
      </w:r>
      <w:r w:rsidR="00F16766" w:rsidRPr="00B00567">
        <w:t xml:space="preserve">within </w:t>
      </w:r>
      <w:r w:rsidR="00FA30AB" w:rsidRPr="00B00567">
        <w:t xml:space="preserve">the production’s run. </w:t>
      </w:r>
    </w:p>
    <w:p w14:paraId="5789C361" w14:textId="77777777" w:rsidR="00F16766" w:rsidRDefault="00F16766" w:rsidP="00F16766">
      <w:pPr>
        <w:pStyle w:val="ListParagraph"/>
        <w:numPr>
          <w:ilvl w:val="0"/>
          <w:numId w:val="4"/>
        </w:numPr>
      </w:pPr>
      <w:r>
        <w:t xml:space="preserve">The </w:t>
      </w:r>
      <w:r w:rsidRPr="00CC0711">
        <w:rPr>
          <w:b/>
        </w:rPr>
        <w:t>cast and creatives must be paid (</w:t>
      </w:r>
      <w:r w:rsidR="002875DC" w:rsidRPr="00CC0711">
        <w:rPr>
          <w:b/>
        </w:rPr>
        <w:t>at least</w:t>
      </w:r>
      <w:r w:rsidRPr="00CC0711">
        <w:rPr>
          <w:b/>
        </w:rPr>
        <w:t>) National Minimum Wage</w:t>
      </w:r>
      <w:r>
        <w:t xml:space="preserve"> and the production will adhere to the Equity Fringe </w:t>
      </w:r>
      <w:r w:rsidR="003C5704">
        <w:t>Agreement.</w:t>
      </w:r>
      <w:r w:rsidR="0028544A">
        <w:t xml:space="preserve"> If the production is contracted under other union </w:t>
      </w:r>
      <w:proofErr w:type="gramStart"/>
      <w:r w:rsidR="0028544A">
        <w:t>guidelines</w:t>
      </w:r>
      <w:proofErr w:type="gramEnd"/>
      <w:r w:rsidR="0028544A">
        <w:t xml:space="preserve"> then please do provide details of this in your application.</w:t>
      </w:r>
    </w:p>
    <w:p w14:paraId="5B1953C7" w14:textId="77777777" w:rsidR="00CC0711" w:rsidRPr="00CC0711" w:rsidRDefault="00022F0D" w:rsidP="00CC0711">
      <w:pPr>
        <w:pStyle w:val="ListParagraph"/>
        <w:numPr>
          <w:ilvl w:val="0"/>
          <w:numId w:val="4"/>
        </w:numPr>
      </w:pPr>
      <w:r>
        <w:t xml:space="preserve">Stage One should receive no less than </w:t>
      </w:r>
      <w:r w:rsidRPr="00CC0711">
        <w:rPr>
          <w:b/>
        </w:rPr>
        <w:t>60% of the profits</w:t>
      </w:r>
      <w:r w:rsidR="00CC0711">
        <w:rPr>
          <w:b/>
        </w:rPr>
        <w:t>.</w:t>
      </w:r>
    </w:p>
    <w:p w14:paraId="75AFD693" w14:textId="77777777" w:rsidR="00123BB3" w:rsidRPr="00CC0711" w:rsidRDefault="002875DC" w:rsidP="00123BB3">
      <w:pPr>
        <w:pStyle w:val="ListParagraph"/>
        <w:numPr>
          <w:ilvl w:val="0"/>
          <w:numId w:val="4"/>
        </w:numPr>
      </w:pPr>
      <w:r>
        <w:lastRenderedPageBreak/>
        <w:t xml:space="preserve">The total weekly management fee </w:t>
      </w:r>
      <w:r>
        <w:rPr>
          <w:rStyle w:val="FootnoteReference"/>
        </w:rPr>
        <w:footnoteReference w:id="4"/>
      </w:r>
      <w:r>
        <w:t xml:space="preserve"> should be no greater than </w:t>
      </w:r>
      <w:r w:rsidRPr="00CC0711">
        <w:rPr>
          <w:b/>
        </w:rPr>
        <w:t xml:space="preserve">10% of the weekly running costs and capped at £2,250. </w:t>
      </w:r>
    </w:p>
    <w:p w14:paraId="75C7CB12" w14:textId="0328BCD4" w:rsidR="00F16766" w:rsidRDefault="002875DC" w:rsidP="002875DC">
      <w:pPr>
        <w:pStyle w:val="ListParagraph"/>
        <w:numPr>
          <w:ilvl w:val="0"/>
          <w:numId w:val="4"/>
        </w:numPr>
      </w:pPr>
      <w:r>
        <w:t xml:space="preserve">Management fees should </w:t>
      </w:r>
      <w:r w:rsidRPr="00CC0711">
        <w:rPr>
          <w:b/>
        </w:rPr>
        <w:t>not be claimed for more than 2 weeks</w:t>
      </w:r>
      <w:r>
        <w:t xml:space="preserve"> prior to the first </w:t>
      </w:r>
      <w:r w:rsidR="001C0EE1">
        <w:t>reh</w:t>
      </w:r>
      <w:r w:rsidR="00B91964">
        <w:t>earsal.</w:t>
      </w:r>
    </w:p>
    <w:p w14:paraId="0CC6738B" w14:textId="4EACF223" w:rsidR="00022F0D" w:rsidRDefault="00022F0D" w:rsidP="002875DC">
      <w:pPr>
        <w:pStyle w:val="ListParagraph"/>
        <w:numPr>
          <w:ilvl w:val="0"/>
          <w:numId w:val="4"/>
        </w:numPr>
      </w:pPr>
      <w:r>
        <w:t>Producer</w:t>
      </w:r>
      <w:r w:rsidR="002F2257">
        <w:t xml:space="preserve"> and </w:t>
      </w:r>
      <w:r w:rsidR="000A660C">
        <w:t>General Manager</w:t>
      </w:r>
      <w:r>
        <w:t xml:space="preserve">’s </w:t>
      </w:r>
      <w:r w:rsidRPr="00CC0711">
        <w:rPr>
          <w:b/>
        </w:rPr>
        <w:t>Royalty should not exceed 2.5%</w:t>
      </w:r>
      <w:r>
        <w:t xml:space="preserve"> if royalties are being calculated on Net Weekly Box Office (‘The Gross’) and if being calculated in a pool the </w:t>
      </w:r>
      <w:r w:rsidR="00CC0711">
        <w:t>producer’s</w:t>
      </w:r>
      <w:r>
        <w:t xml:space="preserve"> royalty should not exceed 5% weekly operating profit pre-recoupment.</w:t>
      </w:r>
      <w:r>
        <w:rPr>
          <w:rStyle w:val="FootnoteReference"/>
        </w:rPr>
        <w:footnoteReference w:id="5"/>
      </w:r>
      <w:r w:rsidR="000A660C">
        <w:t xml:space="preserve"> </w:t>
      </w:r>
    </w:p>
    <w:p w14:paraId="48FBEE4D" w14:textId="6F8362EA" w:rsidR="00AE4900" w:rsidRDefault="001C0C9C" w:rsidP="005717A6">
      <w:pPr>
        <w:pStyle w:val="ListParagraph"/>
        <w:numPr>
          <w:ilvl w:val="0"/>
          <w:numId w:val="4"/>
        </w:numPr>
      </w:pPr>
      <w:r>
        <w:t>Stage One will receive full accounts within 3 months of the close of the production.</w:t>
      </w:r>
    </w:p>
    <w:p w14:paraId="1E769569" w14:textId="77777777" w:rsidR="005717A6" w:rsidRDefault="005717A6" w:rsidP="005717A6">
      <w:pPr>
        <w:pStyle w:val="ListParagraph"/>
      </w:pPr>
    </w:p>
    <w:p w14:paraId="03F1D312" w14:textId="77777777" w:rsidR="00AE4900" w:rsidRDefault="00AE4900" w:rsidP="00AE4900">
      <w:pPr>
        <w:ind w:left="360"/>
        <w:jc w:val="center"/>
      </w:pPr>
      <w:r w:rsidRPr="00F57CFB">
        <w:t xml:space="preserve">If your production is within 10% of the </w:t>
      </w:r>
      <w:proofErr w:type="gramStart"/>
      <w:r w:rsidRPr="00F57CFB">
        <w:t>guidelines</w:t>
      </w:r>
      <w:proofErr w:type="gramEnd"/>
      <w:r w:rsidRPr="00F57CFB">
        <w:t xml:space="preserve"> please </w:t>
      </w:r>
      <w:r>
        <w:t xml:space="preserve">do seek advice from the Stage One team on </w:t>
      </w:r>
      <w:hyperlink r:id="rId11" w:history="1">
        <w:r w:rsidRPr="001D4CD4">
          <w:rPr>
            <w:rStyle w:val="Hyperlink"/>
          </w:rPr>
          <w:t>enquiries@stageone.uk.com</w:t>
        </w:r>
      </w:hyperlink>
      <w:r>
        <w:t xml:space="preserve"> / 0207 5576700</w:t>
      </w:r>
    </w:p>
    <w:p w14:paraId="6F3B1DDF" w14:textId="77777777" w:rsidR="00AE4900" w:rsidRPr="00CE08FF" w:rsidRDefault="00AE4900" w:rsidP="00AE4900">
      <w:pPr>
        <w:ind w:left="360"/>
        <w:jc w:val="center"/>
      </w:pPr>
    </w:p>
    <w:p w14:paraId="49F5E707" w14:textId="77777777" w:rsidR="00AE4900" w:rsidRDefault="00AE4900" w:rsidP="00AE4900"/>
    <w:sectPr w:rsidR="00AE4900" w:rsidSect="00CC071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8806B" w14:textId="77777777" w:rsidR="00E8685E" w:rsidRDefault="00E8685E" w:rsidP="00F16766">
      <w:pPr>
        <w:spacing w:after="0" w:line="240" w:lineRule="auto"/>
      </w:pPr>
      <w:r>
        <w:separator/>
      </w:r>
    </w:p>
  </w:endnote>
  <w:endnote w:type="continuationSeparator" w:id="0">
    <w:p w14:paraId="6996BA10" w14:textId="77777777" w:rsidR="00E8685E" w:rsidRDefault="00E8685E" w:rsidP="00F16766">
      <w:pPr>
        <w:spacing w:after="0" w:line="240" w:lineRule="auto"/>
      </w:pPr>
      <w:r>
        <w:continuationSeparator/>
      </w:r>
    </w:p>
  </w:endnote>
  <w:endnote w:type="continuationNotice" w:id="1">
    <w:p w14:paraId="2CB00BEC" w14:textId="77777777" w:rsidR="00E8685E" w:rsidRDefault="00E86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30E9" w14:textId="77777777" w:rsidR="00CC0711" w:rsidRDefault="00CC0711">
    <w:pPr>
      <w:pStyle w:val="Footer"/>
    </w:pPr>
  </w:p>
  <w:p w14:paraId="1194583A" w14:textId="77777777" w:rsidR="00CC0711" w:rsidRDefault="00CC0711">
    <w:pPr>
      <w:pStyle w:val="Footer"/>
    </w:pPr>
    <w:r>
      <w:rPr>
        <w:noProof/>
        <w:lang w:eastAsia="en-GB"/>
      </w:rPr>
      <w:drawing>
        <wp:anchor distT="0" distB="0" distL="114300" distR="114300" simplePos="0" relativeHeight="251658241" behindDoc="1" locked="0" layoutInCell="1" allowOverlap="1" wp14:anchorId="0C60BE79" wp14:editId="7677EE76">
          <wp:simplePos x="0" y="0"/>
          <wp:positionH relativeFrom="column">
            <wp:posOffset>869315</wp:posOffset>
          </wp:positionH>
          <wp:positionV relativeFrom="paragraph">
            <wp:posOffset>102235</wp:posOffset>
          </wp:positionV>
          <wp:extent cx="6363335" cy="690880"/>
          <wp:effectExtent l="0" t="0" r="0" b="0"/>
          <wp:wrapNone/>
          <wp:docPr id="20" name="Picture 20" descr="Archive/2107_STAGEONE_A4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ive/2107_STAGEONE_A4_Letterhead_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7692"/>
                  <a:stretch/>
                </pic:blipFill>
                <pic:spPr bwMode="auto">
                  <a:xfrm>
                    <a:off x="0" y="0"/>
                    <a:ext cx="6363335" cy="690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6CA6B" w14:textId="77777777" w:rsidR="00E8685E" w:rsidRDefault="00E8685E" w:rsidP="00F16766">
      <w:pPr>
        <w:spacing w:after="0" w:line="240" w:lineRule="auto"/>
      </w:pPr>
      <w:r>
        <w:separator/>
      </w:r>
    </w:p>
  </w:footnote>
  <w:footnote w:type="continuationSeparator" w:id="0">
    <w:p w14:paraId="068D0198" w14:textId="77777777" w:rsidR="00E8685E" w:rsidRDefault="00E8685E" w:rsidP="00F16766">
      <w:pPr>
        <w:spacing w:after="0" w:line="240" w:lineRule="auto"/>
      </w:pPr>
      <w:r>
        <w:continuationSeparator/>
      </w:r>
    </w:p>
  </w:footnote>
  <w:footnote w:type="continuationNotice" w:id="1">
    <w:p w14:paraId="36BC6ECE" w14:textId="77777777" w:rsidR="00E8685E" w:rsidRDefault="00E8685E">
      <w:pPr>
        <w:spacing w:after="0" w:line="240" w:lineRule="auto"/>
      </w:pPr>
    </w:p>
  </w:footnote>
  <w:footnote w:id="2">
    <w:p w14:paraId="72042225" w14:textId="77777777" w:rsidR="00AA2D41" w:rsidRDefault="00AA2D41">
      <w:pPr>
        <w:pStyle w:val="FootnoteText"/>
      </w:pPr>
      <w:r>
        <w:rPr>
          <w:rStyle w:val="FootnoteReference"/>
        </w:rPr>
        <w:footnoteRef/>
      </w:r>
      <w:r>
        <w:t xml:space="preserve"> West </w:t>
      </w:r>
      <w:r w:rsidR="0028544A">
        <w:t>End venue is defined as a Society of London Theatre member venue.</w:t>
      </w:r>
    </w:p>
    <w:p w14:paraId="239EDA42" w14:textId="77777777" w:rsidR="00CC0711" w:rsidRDefault="00CC0711">
      <w:pPr>
        <w:pStyle w:val="FootnoteText"/>
      </w:pPr>
    </w:p>
  </w:footnote>
  <w:footnote w:id="3">
    <w:p w14:paraId="2027D059" w14:textId="77777777" w:rsidR="002875DC" w:rsidRPr="002875DC" w:rsidRDefault="00F16766" w:rsidP="002875DC">
      <w:pPr>
        <w:rPr>
          <w:sz w:val="20"/>
          <w:szCs w:val="20"/>
        </w:rPr>
      </w:pPr>
      <w:r>
        <w:rPr>
          <w:rStyle w:val="FootnoteReference"/>
          <w:sz w:val="20"/>
          <w:szCs w:val="20"/>
        </w:rPr>
        <w:footnoteRef/>
      </w:r>
      <w:r w:rsidRPr="00AA2D41">
        <w:rPr>
          <w:sz w:val="20"/>
          <w:szCs w:val="20"/>
        </w:rPr>
        <w:t>Net Box Office</w:t>
      </w:r>
      <w:r w:rsidR="00022F0D">
        <w:rPr>
          <w:sz w:val="20"/>
          <w:szCs w:val="20"/>
        </w:rPr>
        <w:t xml:space="preserve"> </w:t>
      </w:r>
      <w:r w:rsidRPr="00AA2D41">
        <w:rPr>
          <w:sz w:val="20"/>
          <w:szCs w:val="20"/>
        </w:rPr>
        <w:t>Capacity is defined as the total gross receipts if every seat (excluding pp seats) in the house at full price less VAT and then less a further 10% to cover commissions etc., or a percentage that accurately ref</w:t>
      </w:r>
      <w:r w:rsidR="002875DC">
        <w:rPr>
          <w:sz w:val="20"/>
          <w:szCs w:val="20"/>
        </w:rPr>
        <w:t>lects the deal with the theatre.</w:t>
      </w:r>
    </w:p>
  </w:footnote>
  <w:footnote w:id="4">
    <w:p w14:paraId="3270ACEA" w14:textId="77777777" w:rsidR="002875DC" w:rsidRDefault="002875DC">
      <w:pPr>
        <w:pStyle w:val="FootnoteText"/>
      </w:pPr>
      <w:r>
        <w:rPr>
          <w:rStyle w:val="FootnoteReference"/>
        </w:rPr>
        <w:footnoteRef/>
      </w:r>
      <w:r>
        <w:t xml:space="preserve"> Management fees are defined as the total weekly payment of all fees to the producers and general managers of the </w:t>
      </w:r>
      <w:proofErr w:type="gramStart"/>
      <w:r>
        <w:t>production, and</w:t>
      </w:r>
      <w:proofErr w:type="gramEnd"/>
      <w:r>
        <w:t xml:space="preserve"> include all office expenses and charges.  The</w:t>
      </w:r>
      <w:r w:rsidR="00890AFA">
        <w:t>y</w:t>
      </w:r>
      <w:r>
        <w:t xml:space="preserve"> do not include reasonable charges for accountancy, production management fees or marketing fees which are expected to be within industry norms.</w:t>
      </w:r>
    </w:p>
  </w:footnote>
  <w:footnote w:id="5">
    <w:p w14:paraId="27A66AE5" w14:textId="77777777" w:rsidR="00022F0D" w:rsidRDefault="00022F0D">
      <w:pPr>
        <w:pStyle w:val="FootnoteText"/>
      </w:pPr>
      <w:r>
        <w:rPr>
          <w:rStyle w:val="FootnoteReference"/>
        </w:rPr>
        <w:footnoteRef/>
      </w:r>
      <w:r>
        <w:t xml:space="preserve"> Weekly operating profit is defined as the profit remaining once the weekly running costs of the show have been deducted from the weekly Net Box Office figure.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283D" w14:textId="77777777" w:rsidR="003C5704" w:rsidRDefault="003C5704" w:rsidP="003C5704">
    <w:pPr>
      <w:pStyle w:val="Header"/>
      <w:rPr>
        <w:sz w:val="16"/>
      </w:rPr>
    </w:pPr>
    <w:r>
      <w:rPr>
        <w:noProof/>
        <w:lang w:eastAsia="en-GB"/>
      </w:rPr>
      <w:drawing>
        <wp:anchor distT="0" distB="0" distL="114300" distR="114300" simplePos="0" relativeHeight="251658240" behindDoc="1" locked="0" layoutInCell="1" allowOverlap="1" wp14:anchorId="2E7892BF" wp14:editId="62A26DF2">
          <wp:simplePos x="0" y="0"/>
          <wp:positionH relativeFrom="column">
            <wp:posOffset>4634230</wp:posOffset>
          </wp:positionH>
          <wp:positionV relativeFrom="paragraph">
            <wp:posOffset>-101600</wp:posOffset>
          </wp:positionV>
          <wp:extent cx="1486535" cy="1050925"/>
          <wp:effectExtent l="0" t="0" r="0" b="0"/>
          <wp:wrapTight wrapText="bothSides">
            <wp:wrapPolygon edited="0">
              <wp:start x="0" y="0"/>
              <wp:lineTo x="0" y="21143"/>
              <wp:lineTo x="21314" y="21143"/>
              <wp:lineTo x="213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ONE_PURPL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1050925"/>
                  </a:xfrm>
                  <a:prstGeom prst="rect">
                    <a:avLst/>
                  </a:prstGeom>
                </pic:spPr>
              </pic:pic>
            </a:graphicData>
          </a:graphic>
          <wp14:sizeRelH relativeFrom="page">
            <wp14:pctWidth>0</wp14:pctWidth>
          </wp14:sizeRelH>
          <wp14:sizeRelV relativeFrom="page">
            <wp14:pctHeight>0</wp14:pctHeight>
          </wp14:sizeRelV>
        </wp:anchor>
      </w:drawing>
    </w:r>
    <w:r>
      <w:rPr>
        <w:sz w:val="16"/>
      </w:rPr>
      <w:t>32 Rose Street</w:t>
    </w:r>
  </w:p>
  <w:p w14:paraId="0525A2B3" w14:textId="77777777" w:rsidR="003C5704" w:rsidRDefault="003C5704" w:rsidP="003C5704">
    <w:pPr>
      <w:pStyle w:val="Header"/>
      <w:rPr>
        <w:sz w:val="16"/>
      </w:rPr>
    </w:pPr>
    <w:r>
      <w:rPr>
        <w:sz w:val="16"/>
      </w:rPr>
      <w:t>London, WC2E 9ET</w:t>
    </w:r>
  </w:p>
  <w:p w14:paraId="0FDF6E4B" w14:textId="77777777" w:rsidR="003C5704" w:rsidRPr="007034A7" w:rsidRDefault="003C5704" w:rsidP="003C5704">
    <w:pPr>
      <w:pStyle w:val="Header"/>
      <w:rPr>
        <w:sz w:val="4"/>
      </w:rPr>
    </w:pPr>
  </w:p>
  <w:p w14:paraId="0996EEBE" w14:textId="77777777" w:rsidR="003C5704" w:rsidRDefault="003C5704" w:rsidP="003C5704">
    <w:pPr>
      <w:pStyle w:val="Header"/>
      <w:rPr>
        <w:color w:val="000000" w:themeColor="text1"/>
        <w:sz w:val="16"/>
      </w:rPr>
    </w:pPr>
    <w:r>
      <w:rPr>
        <w:color w:val="7030A0"/>
        <w:sz w:val="16"/>
      </w:rPr>
      <w:t xml:space="preserve">telephone: </w:t>
    </w:r>
    <w:r>
      <w:rPr>
        <w:color w:val="000000" w:themeColor="text1"/>
        <w:sz w:val="16"/>
      </w:rPr>
      <w:t>+44 (0) 20 7557 6737</w:t>
    </w:r>
  </w:p>
  <w:p w14:paraId="7E51AB0A" w14:textId="77777777" w:rsidR="003C5704" w:rsidRDefault="003C5704" w:rsidP="003C5704">
    <w:pPr>
      <w:pStyle w:val="Header"/>
      <w:rPr>
        <w:sz w:val="16"/>
      </w:rPr>
    </w:pPr>
    <w:r>
      <w:rPr>
        <w:color w:val="7030A0"/>
        <w:sz w:val="16"/>
      </w:rPr>
      <w:t xml:space="preserve">email: </w:t>
    </w:r>
    <w:hyperlink r:id="rId2" w:history="1">
      <w:r w:rsidRPr="007034A7">
        <w:rPr>
          <w:rStyle w:val="Hyperlink"/>
          <w:color w:val="000000" w:themeColor="text1"/>
          <w:sz w:val="16"/>
        </w:rPr>
        <w:t>enquiries@stageone.uk.com</w:t>
      </w:r>
    </w:hyperlink>
  </w:p>
  <w:p w14:paraId="1E1B8B6E" w14:textId="77777777" w:rsidR="003C5704" w:rsidRPr="007034A7" w:rsidRDefault="003C5704" w:rsidP="003C5704">
    <w:pPr>
      <w:pStyle w:val="Header"/>
      <w:rPr>
        <w:sz w:val="8"/>
      </w:rPr>
    </w:pPr>
  </w:p>
  <w:p w14:paraId="21C0CAE9" w14:textId="77777777" w:rsidR="003C5704" w:rsidRPr="007034A7" w:rsidRDefault="003C5704" w:rsidP="003C5704">
    <w:pPr>
      <w:pStyle w:val="Header"/>
      <w:rPr>
        <w:b/>
        <w:color w:val="7030A0"/>
        <w:sz w:val="32"/>
      </w:rPr>
    </w:pPr>
    <w:r w:rsidRPr="007034A7">
      <w:rPr>
        <w:b/>
        <w:color w:val="7030A0"/>
      </w:rPr>
      <w:t>stageone.uk.com</w:t>
    </w:r>
  </w:p>
  <w:p w14:paraId="7C351F36" w14:textId="77777777" w:rsidR="003C5704" w:rsidRDefault="003C5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388"/>
    <w:multiLevelType w:val="hybridMultilevel"/>
    <w:tmpl w:val="5F360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E57FF"/>
    <w:multiLevelType w:val="hybridMultilevel"/>
    <w:tmpl w:val="446E99C2"/>
    <w:lvl w:ilvl="0" w:tplc="3698E42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85C25"/>
    <w:multiLevelType w:val="hybridMultilevel"/>
    <w:tmpl w:val="5DB41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F2FBC"/>
    <w:multiLevelType w:val="hybridMultilevel"/>
    <w:tmpl w:val="07DCF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9574006">
    <w:abstractNumId w:val="0"/>
  </w:num>
  <w:num w:numId="2" w16cid:durableId="314914621">
    <w:abstractNumId w:val="1"/>
  </w:num>
  <w:num w:numId="3" w16cid:durableId="1202939506">
    <w:abstractNumId w:val="2"/>
  </w:num>
  <w:num w:numId="4" w16cid:durableId="1710908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54"/>
    <w:rsid w:val="00022F0D"/>
    <w:rsid w:val="00046A8C"/>
    <w:rsid w:val="00052E50"/>
    <w:rsid w:val="00063224"/>
    <w:rsid w:val="000750EB"/>
    <w:rsid w:val="000A660C"/>
    <w:rsid w:val="000A6A0C"/>
    <w:rsid w:val="00123BB3"/>
    <w:rsid w:val="001842B7"/>
    <w:rsid w:val="001C0C9C"/>
    <w:rsid w:val="001C0EE1"/>
    <w:rsid w:val="001D0CF7"/>
    <w:rsid w:val="0028544A"/>
    <w:rsid w:val="002875DC"/>
    <w:rsid w:val="002A698B"/>
    <w:rsid w:val="002B305D"/>
    <w:rsid w:val="002E0E01"/>
    <w:rsid w:val="002F2257"/>
    <w:rsid w:val="00386032"/>
    <w:rsid w:val="003A62E9"/>
    <w:rsid w:val="003C5704"/>
    <w:rsid w:val="003E046F"/>
    <w:rsid w:val="004B0280"/>
    <w:rsid w:val="004C191A"/>
    <w:rsid w:val="00531371"/>
    <w:rsid w:val="005717A6"/>
    <w:rsid w:val="005854F1"/>
    <w:rsid w:val="005C017E"/>
    <w:rsid w:val="006163A4"/>
    <w:rsid w:val="006307A4"/>
    <w:rsid w:val="0069139A"/>
    <w:rsid w:val="006D7603"/>
    <w:rsid w:val="00797375"/>
    <w:rsid w:val="007E0251"/>
    <w:rsid w:val="0089049D"/>
    <w:rsid w:val="00890AFA"/>
    <w:rsid w:val="008F40F8"/>
    <w:rsid w:val="0090566A"/>
    <w:rsid w:val="00A305C8"/>
    <w:rsid w:val="00A64254"/>
    <w:rsid w:val="00A913FA"/>
    <w:rsid w:val="00AA2D41"/>
    <w:rsid w:val="00AE4900"/>
    <w:rsid w:val="00AF0354"/>
    <w:rsid w:val="00B00567"/>
    <w:rsid w:val="00B865FE"/>
    <w:rsid w:val="00B87BE0"/>
    <w:rsid w:val="00B91964"/>
    <w:rsid w:val="00BC16FB"/>
    <w:rsid w:val="00BE65FC"/>
    <w:rsid w:val="00C11BE4"/>
    <w:rsid w:val="00C2196E"/>
    <w:rsid w:val="00CA3E02"/>
    <w:rsid w:val="00CC0711"/>
    <w:rsid w:val="00CD381F"/>
    <w:rsid w:val="00CD7FF4"/>
    <w:rsid w:val="00CE08FF"/>
    <w:rsid w:val="00D0636A"/>
    <w:rsid w:val="00D3479D"/>
    <w:rsid w:val="00E45963"/>
    <w:rsid w:val="00E62178"/>
    <w:rsid w:val="00E8685E"/>
    <w:rsid w:val="00EA0EE2"/>
    <w:rsid w:val="00F16766"/>
    <w:rsid w:val="00F57CFB"/>
    <w:rsid w:val="00F74199"/>
    <w:rsid w:val="00FA30AB"/>
    <w:rsid w:val="00FB71C3"/>
    <w:rsid w:val="00FF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AB0CA"/>
  <w15:docId w15:val="{8293F886-72DF-41AE-BF89-C6E64FA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254"/>
    <w:pPr>
      <w:ind w:left="720"/>
      <w:contextualSpacing/>
    </w:pPr>
  </w:style>
  <w:style w:type="paragraph" w:styleId="FootnoteText">
    <w:name w:val="footnote text"/>
    <w:basedOn w:val="Normal"/>
    <w:link w:val="FootnoteTextChar"/>
    <w:uiPriority w:val="99"/>
    <w:semiHidden/>
    <w:unhideWhenUsed/>
    <w:rsid w:val="00F16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766"/>
    <w:rPr>
      <w:sz w:val="20"/>
      <w:szCs w:val="20"/>
    </w:rPr>
  </w:style>
  <w:style w:type="character" w:styleId="FootnoteReference">
    <w:name w:val="footnote reference"/>
    <w:basedOn w:val="DefaultParagraphFont"/>
    <w:uiPriority w:val="99"/>
    <w:semiHidden/>
    <w:unhideWhenUsed/>
    <w:rsid w:val="00F16766"/>
    <w:rPr>
      <w:vertAlign w:val="superscript"/>
    </w:rPr>
  </w:style>
  <w:style w:type="paragraph" w:styleId="BalloonText">
    <w:name w:val="Balloon Text"/>
    <w:basedOn w:val="Normal"/>
    <w:link w:val="BalloonTextChar"/>
    <w:uiPriority w:val="99"/>
    <w:semiHidden/>
    <w:unhideWhenUsed/>
    <w:rsid w:val="003C5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704"/>
    <w:rPr>
      <w:rFonts w:ascii="Tahoma" w:hAnsi="Tahoma" w:cs="Tahoma"/>
      <w:sz w:val="16"/>
      <w:szCs w:val="16"/>
    </w:rPr>
  </w:style>
  <w:style w:type="paragraph" w:styleId="Header">
    <w:name w:val="header"/>
    <w:basedOn w:val="Normal"/>
    <w:link w:val="HeaderChar"/>
    <w:uiPriority w:val="99"/>
    <w:unhideWhenUsed/>
    <w:rsid w:val="003C5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04"/>
  </w:style>
  <w:style w:type="paragraph" w:styleId="Footer">
    <w:name w:val="footer"/>
    <w:basedOn w:val="Normal"/>
    <w:link w:val="FooterChar"/>
    <w:uiPriority w:val="99"/>
    <w:unhideWhenUsed/>
    <w:rsid w:val="003C5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04"/>
  </w:style>
  <w:style w:type="character" w:styleId="Hyperlink">
    <w:name w:val="Hyperlink"/>
    <w:basedOn w:val="DefaultParagraphFont"/>
    <w:uiPriority w:val="99"/>
    <w:unhideWhenUsed/>
    <w:rsid w:val="003C5704"/>
    <w:rPr>
      <w:color w:val="0000FF" w:themeColor="hyperlink"/>
      <w:u w:val="single"/>
    </w:rPr>
  </w:style>
  <w:style w:type="character" w:styleId="CommentReference">
    <w:name w:val="annotation reference"/>
    <w:basedOn w:val="DefaultParagraphFont"/>
    <w:uiPriority w:val="99"/>
    <w:semiHidden/>
    <w:unhideWhenUsed/>
    <w:rsid w:val="001D0CF7"/>
    <w:rPr>
      <w:sz w:val="16"/>
      <w:szCs w:val="16"/>
    </w:rPr>
  </w:style>
  <w:style w:type="paragraph" w:styleId="CommentText">
    <w:name w:val="annotation text"/>
    <w:basedOn w:val="Normal"/>
    <w:link w:val="CommentTextChar"/>
    <w:uiPriority w:val="99"/>
    <w:semiHidden/>
    <w:unhideWhenUsed/>
    <w:rsid w:val="001D0CF7"/>
    <w:pPr>
      <w:spacing w:line="240" w:lineRule="auto"/>
    </w:pPr>
    <w:rPr>
      <w:sz w:val="20"/>
      <w:szCs w:val="20"/>
    </w:rPr>
  </w:style>
  <w:style w:type="character" w:customStyle="1" w:styleId="CommentTextChar">
    <w:name w:val="Comment Text Char"/>
    <w:basedOn w:val="DefaultParagraphFont"/>
    <w:link w:val="CommentText"/>
    <w:uiPriority w:val="99"/>
    <w:semiHidden/>
    <w:rsid w:val="001D0CF7"/>
    <w:rPr>
      <w:sz w:val="20"/>
      <w:szCs w:val="20"/>
    </w:rPr>
  </w:style>
  <w:style w:type="paragraph" w:styleId="CommentSubject">
    <w:name w:val="annotation subject"/>
    <w:basedOn w:val="CommentText"/>
    <w:next w:val="CommentText"/>
    <w:link w:val="CommentSubjectChar"/>
    <w:uiPriority w:val="99"/>
    <w:semiHidden/>
    <w:unhideWhenUsed/>
    <w:rsid w:val="001D0CF7"/>
    <w:rPr>
      <w:b/>
      <w:bCs/>
    </w:rPr>
  </w:style>
  <w:style w:type="character" w:customStyle="1" w:styleId="CommentSubjectChar">
    <w:name w:val="Comment Subject Char"/>
    <w:basedOn w:val="CommentTextChar"/>
    <w:link w:val="CommentSubject"/>
    <w:uiPriority w:val="99"/>
    <w:semiHidden/>
    <w:rsid w:val="001D0CF7"/>
    <w:rPr>
      <w:b/>
      <w:bCs/>
      <w:sz w:val="20"/>
      <w:szCs w:val="20"/>
    </w:rPr>
  </w:style>
  <w:style w:type="paragraph" w:styleId="Revision">
    <w:name w:val="Revision"/>
    <w:hidden/>
    <w:uiPriority w:val="99"/>
    <w:semiHidden/>
    <w:rsid w:val="001C0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stageone.u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enquiries@stageone.u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78be624-e32a-444a-9104-bf6c12fea6bc" xsi:nil="true"/>
    <lcf76f155ced4ddcb4097134ff3c332f xmlns="b3ba483d-c9cb-4675-aaef-fda002a0495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7FA6BD2A78404C878778576A912612" ma:contentTypeVersion="15" ma:contentTypeDescription="Create a new document." ma:contentTypeScope="" ma:versionID="95a70cf43206a1541c2ce1aeef9aa81a">
  <xsd:schema xmlns:xsd="http://www.w3.org/2001/XMLSchema" xmlns:xs="http://www.w3.org/2001/XMLSchema" xmlns:p="http://schemas.microsoft.com/office/2006/metadata/properties" xmlns:ns2="d78be624-e32a-444a-9104-bf6c12fea6bc" xmlns:ns3="b3ba483d-c9cb-4675-aaef-fda002a04950" targetNamespace="http://schemas.microsoft.com/office/2006/metadata/properties" ma:root="true" ma:fieldsID="6d87679b84ec50dd6457ed051d75200c" ns2:_="" ns3:_="">
    <xsd:import namespace="d78be624-e32a-444a-9104-bf6c12fea6bc"/>
    <xsd:import namespace="b3ba483d-c9cb-4675-aaef-fda002a04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be624-e32a-444a-9104-bf6c12fea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98dda-8558-4f96-99fc-f24aa208d746}" ma:internalName="TaxCatchAll" ma:showField="CatchAllData" ma:web="d78be624-e32a-444a-9104-bf6c12fea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a483d-c9cb-4675-aaef-fda002a049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EB4A6-A907-4F0B-BA95-BA5536656173}">
  <ds:schemaRefs>
    <ds:schemaRef ds:uri="http://schemas.microsoft.com/sharepoint/v3/contenttype/forms"/>
  </ds:schemaRefs>
</ds:datastoreItem>
</file>

<file path=customXml/itemProps2.xml><?xml version="1.0" encoding="utf-8"?>
<ds:datastoreItem xmlns:ds="http://schemas.openxmlformats.org/officeDocument/2006/customXml" ds:itemID="{8C3ECDBD-FB56-46EA-90EE-CB41B4250DAA}">
  <ds:schemaRefs>
    <ds:schemaRef ds:uri="http://schemas.openxmlformats.org/officeDocument/2006/bibliography"/>
  </ds:schemaRefs>
</ds:datastoreItem>
</file>

<file path=customXml/itemProps3.xml><?xml version="1.0" encoding="utf-8"?>
<ds:datastoreItem xmlns:ds="http://schemas.openxmlformats.org/officeDocument/2006/customXml" ds:itemID="{1D10EDDE-4650-460F-BC36-653B68176D9E}">
  <ds:schemaRefs>
    <ds:schemaRef ds:uri="http://schemas.microsoft.com/office/2006/metadata/properties"/>
    <ds:schemaRef ds:uri="http://schemas.microsoft.com/office/infopath/2007/PartnerControls"/>
    <ds:schemaRef ds:uri="d78be624-e32a-444a-9104-bf6c12fea6bc"/>
    <ds:schemaRef ds:uri="b3ba483d-c9cb-4675-aaef-fda002a04950"/>
  </ds:schemaRefs>
</ds:datastoreItem>
</file>

<file path=customXml/itemProps4.xml><?xml version="1.0" encoding="utf-8"?>
<ds:datastoreItem xmlns:ds="http://schemas.openxmlformats.org/officeDocument/2006/customXml" ds:itemID="{A39F848C-A9C7-4588-977F-6FE8ABC07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be624-e32a-444a-9104-bf6c12fea6bc"/>
    <ds:schemaRef ds:uri="b3ba483d-c9cb-4675-aaef-fda002a04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Goodman</dc:creator>
  <cp:keywords/>
  <cp:lastModifiedBy>Louise Goodman</cp:lastModifiedBy>
  <cp:revision>2</cp:revision>
  <cp:lastPrinted>2020-11-19T20:44:00Z</cp:lastPrinted>
  <dcterms:created xsi:type="dcterms:W3CDTF">2025-02-27T17:00:00Z</dcterms:created>
  <dcterms:modified xsi:type="dcterms:W3CDTF">2025-02-27T17:00:00Z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0x010100F37FA6BD2A78404C878778576A912612</vt:lpwstr>
  </property>
  <property fmtid="{D5CDD505-2E9C-101B-9397-08002B2CF9AE}" pid="3" name="MediaServiceImageTags">
    <vt:lpwstr/>
  </property>
</Properties>
</file>